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32C" w:rsidRPr="00994529" w:rsidRDefault="00D7732C" w:rsidP="00D7732C">
      <w:pPr>
        <w:spacing w:beforeLines="60" w:before="144" w:afterLines="60" w:after="144" w:line="312" w:lineRule="auto"/>
        <w:ind w:firstLine="720"/>
        <w:jc w:val="both"/>
        <w:rPr>
          <w:b/>
          <w:color w:val="FF0000"/>
          <w:sz w:val="26"/>
          <w:szCs w:val="26"/>
          <w:lang w:val="nl-NL"/>
        </w:rPr>
      </w:pPr>
      <w:r w:rsidRPr="00994529">
        <w:rPr>
          <w:b/>
          <w:color w:val="FF0000"/>
          <w:sz w:val="26"/>
          <w:szCs w:val="26"/>
          <w:lang w:val="nl-NL"/>
        </w:rPr>
        <w:t>* Công tác liên kết đào tạo, hợp tác quốc tế</w:t>
      </w:r>
    </w:p>
    <w:p w:rsidR="00D7732C" w:rsidRPr="00994529" w:rsidRDefault="00D7732C" w:rsidP="00D7732C">
      <w:pPr>
        <w:widowControl w:val="0"/>
        <w:spacing w:beforeLines="60" w:before="144" w:afterLines="60" w:after="144" w:line="312" w:lineRule="auto"/>
        <w:ind w:firstLine="720"/>
        <w:jc w:val="both"/>
        <w:rPr>
          <w:color w:val="FF0000"/>
          <w:sz w:val="26"/>
          <w:szCs w:val="26"/>
          <w:lang w:val="nl-NL"/>
        </w:rPr>
      </w:pPr>
      <w:r w:rsidRPr="00994529">
        <w:rPr>
          <w:color w:val="FF0000"/>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D7732C" w:rsidRPr="00994529" w:rsidRDefault="00D7732C" w:rsidP="00D7732C">
      <w:pPr>
        <w:widowControl w:val="0"/>
        <w:spacing w:beforeLines="60" w:before="144" w:afterLines="60" w:after="144" w:line="312" w:lineRule="auto"/>
        <w:ind w:firstLine="720"/>
        <w:jc w:val="both"/>
        <w:rPr>
          <w:color w:val="FF0000"/>
          <w:sz w:val="26"/>
          <w:szCs w:val="26"/>
          <w:lang w:val="nl-NL"/>
        </w:rPr>
      </w:pPr>
      <w:r w:rsidRPr="00994529">
        <w:rPr>
          <w:color w:val="FF0000"/>
          <w:sz w:val="26"/>
          <w:szCs w:val="26"/>
          <w:lang w:val="nl-NL"/>
        </w:rPr>
        <w:t>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dành cho thanh thiếu niên có hoàn cảnh khó khăn, chưa có việc làm, bộ đội xuất ngũ. Đặc biệt, chương trình còn trợ cấp cho học viên khó khăn, hiếu học và có hộ khẩu thường trú ở tỉnh (trợ cấp  300 USD/ 01 suất và ký túc xá); thực hiện dự án học bổng Nữ sinh viên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Thành phố Hồ Chí Minh, hiện nay phòng thực hành đã đưa vào giảng dạy rất hiệu quả. Nhà trường đang thực hiện dự án hợp tác với tập đoàn Kone thành lập trung tâm đào tạo kỹ thuật viên về lĩnh vực thang máy và thang cuốn.</w:t>
      </w:r>
    </w:p>
    <w:p w:rsidR="00FC3A87" w:rsidRPr="00D7732C" w:rsidRDefault="00FC3A87">
      <w:pPr>
        <w:rPr>
          <w:lang w:val="nl-NL"/>
        </w:rPr>
      </w:pPr>
      <w:bookmarkStart w:id="0" w:name="_GoBack"/>
      <w:bookmarkEnd w:id="0"/>
    </w:p>
    <w:sectPr w:rsidR="00FC3A87" w:rsidRPr="00D773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32C"/>
    <w:rsid w:val="00AF71ED"/>
    <w:rsid w:val="00D7732C"/>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2C"/>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2C"/>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2017-12-08T12:09:00Z</dcterms:created>
  <dcterms:modified xsi:type="dcterms:W3CDTF">2017-12-08T12:09:00Z</dcterms:modified>
</cp:coreProperties>
</file>